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B5" w:rsidRDefault="002668B5" w:rsidP="002668B5">
      <w:pPr>
        <w:jc w:val="center"/>
        <w:rPr>
          <w:b/>
          <w:sz w:val="28"/>
          <w:szCs w:val="28"/>
        </w:rPr>
      </w:pPr>
      <w:r w:rsidRPr="00DD14BA">
        <w:rPr>
          <w:b/>
          <w:sz w:val="28"/>
          <w:szCs w:val="28"/>
        </w:rPr>
        <w:t>НОВОСТИ (сентябрь 2024)</w:t>
      </w:r>
    </w:p>
    <w:p w:rsidR="00B6338B" w:rsidRDefault="00B6338B" w:rsidP="00B6338B">
      <w:pPr>
        <w:rPr>
          <w:b/>
          <w:color w:val="1A1A1A"/>
          <w:sz w:val="28"/>
          <w:szCs w:val="28"/>
          <w:shd w:val="clear" w:color="auto" w:fill="FFFFFF"/>
        </w:rPr>
      </w:pPr>
    </w:p>
    <w:p w:rsidR="00B6338B" w:rsidRPr="00630462" w:rsidRDefault="00B6338B" w:rsidP="00B6338B">
      <w:pPr>
        <w:rPr>
          <w:b/>
          <w:color w:val="1A1A1A"/>
          <w:sz w:val="28"/>
          <w:szCs w:val="28"/>
          <w:shd w:val="clear" w:color="auto" w:fill="FFFFFF"/>
        </w:rPr>
      </w:pPr>
      <w:r w:rsidRPr="00630462">
        <w:rPr>
          <w:b/>
          <w:color w:val="1A1A1A"/>
          <w:sz w:val="28"/>
          <w:szCs w:val="28"/>
          <w:shd w:val="clear" w:color="auto" w:fill="FFFFFF"/>
        </w:rPr>
        <w:t xml:space="preserve">Для </w:t>
      </w:r>
      <w:r>
        <w:rPr>
          <w:b/>
          <w:color w:val="1A1A1A"/>
          <w:sz w:val="28"/>
          <w:szCs w:val="28"/>
          <w:shd w:val="clear" w:color="auto" w:fill="FFFFFF"/>
        </w:rPr>
        <w:t>учителей</w:t>
      </w:r>
      <w:r w:rsidRPr="00630462">
        <w:rPr>
          <w:b/>
          <w:color w:val="1A1A1A"/>
          <w:sz w:val="28"/>
          <w:szCs w:val="28"/>
          <w:shd w:val="clear" w:color="auto" w:fill="FFFFFF"/>
        </w:rPr>
        <w:t xml:space="preserve"> и учащихся 11</w:t>
      </w:r>
      <w:r>
        <w:rPr>
          <w:b/>
          <w:color w:val="1A1A1A"/>
          <w:sz w:val="28"/>
          <w:szCs w:val="28"/>
          <w:shd w:val="clear" w:color="auto" w:fill="FFFFFF"/>
        </w:rPr>
        <w:t>-х</w:t>
      </w:r>
      <w:r w:rsidRPr="00630462">
        <w:rPr>
          <w:b/>
          <w:color w:val="1A1A1A"/>
          <w:sz w:val="28"/>
          <w:szCs w:val="28"/>
          <w:shd w:val="clear" w:color="auto" w:fill="FFFFFF"/>
        </w:rPr>
        <w:t xml:space="preserve"> классов</w:t>
      </w:r>
    </w:p>
    <w:p w:rsidR="00B6338B" w:rsidRDefault="00B6338B" w:rsidP="00B6338B">
      <w:pPr>
        <w:shd w:val="clear" w:color="auto" w:fill="FFFFFF"/>
        <w:outlineLvl w:val="1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6A5398">
        <w:rPr>
          <w:rFonts w:ascii="Calibri" w:hAnsi="Calibri" w:cs="Calibri"/>
          <w:b/>
          <w:bCs/>
          <w:color w:val="000000"/>
          <w:sz w:val="36"/>
          <w:szCs w:val="36"/>
        </w:rPr>
        <w:t>Опубликованы проекты контрольных измерительных материалов ЕГЭ 2025 года</w:t>
      </w:r>
    </w:p>
    <w:p w:rsidR="00B6338B" w:rsidRPr="006A5398" w:rsidRDefault="00B6338B" w:rsidP="00B6338B">
      <w:pPr>
        <w:shd w:val="clear" w:color="auto" w:fill="FFFFFF"/>
        <w:rPr>
          <w:color w:val="000000"/>
          <w:sz w:val="27"/>
          <w:szCs w:val="27"/>
        </w:rPr>
      </w:pPr>
    </w:p>
    <w:p w:rsidR="00B6338B" w:rsidRPr="006A5398" w:rsidRDefault="00B6338B" w:rsidP="00B6338B">
      <w:pPr>
        <w:shd w:val="clear" w:color="auto" w:fill="FFFFFF"/>
        <w:rPr>
          <w:rFonts w:ascii="Arial" w:hAnsi="Arial" w:cs="Arial"/>
          <w:b/>
          <w:bCs/>
          <w:color w:val="000000"/>
          <w:sz w:val="33"/>
          <w:szCs w:val="33"/>
        </w:rPr>
      </w:pPr>
      <w:hyperlink r:id="rId5" w:tgtFrame="_blank" w:history="1">
        <w:r w:rsidRPr="006A5398">
          <w:rPr>
            <w:rFonts w:ascii="Arial" w:hAnsi="Arial" w:cs="Arial"/>
            <w:b/>
            <w:bCs/>
            <w:color w:val="0000FF"/>
            <w:sz w:val="33"/>
            <w:szCs w:val="33"/>
            <w:bdr w:val="none" w:sz="0" w:space="0" w:color="auto" w:frame="1"/>
          </w:rPr>
          <w:t>Изменения в КИМ ЕГЭ 2025 года</w:t>
        </w:r>
      </w:hyperlink>
    </w:p>
    <w:p w:rsidR="00B6338B" w:rsidRPr="006A5398" w:rsidRDefault="00B6338B" w:rsidP="00B6338B">
      <w:pPr>
        <w:shd w:val="clear" w:color="auto" w:fill="FFFFFF"/>
        <w:rPr>
          <w:rFonts w:ascii="Arial" w:hAnsi="Arial" w:cs="Arial"/>
          <w:b/>
          <w:bCs/>
          <w:color w:val="1E7B84"/>
        </w:rPr>
      </w:pPr>
      <w:r w:rsidRPr="006A5398">
        <w:rPr>
          <w:rFonts w:ascii="Arial" w:hAnsi="Arial" w:cs="Arial"/>
          <w:b/>
          <w:bCs/>
          <w:color w:val="1E7B84"/>
        </w:rPr>
        <w:t>Скачать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ФИПИ опубликованы </w:t>
      </w:r>
      <w:hyperlink r:id="rId6" w:history="1">
        <w:r w:rsidRPr="00630462">
          <w:rPr>
            <w:rFonts w:ascii="Times New Roman" w:hAnsi="Times New Roman" w:cs="Times New Roman"/>
            <w:color w:val="0C7BCE"/>
            <w:sz w:val="24"/>
            <w:szCs w:val="24"/>
            <w:lang w:eastAsia="ru-RU"/>
          </w:rPr>
          <w:t>проекты документов</w:t>
        </w:r>
      </w:hyperlink>
      <w:r w:rsidRPr="00630462">
        <w:rPr>
          <w:rFonts w:ascii="Times New Roman" w:hAnsi="Times New Roman" w:cs="Times New Roman"/>
          <w:sz w:val="24"/>
          <w:szCs w:val="24"/>
          <w:lang w:eastAsia="ru-RU"/>
        </w:rPr>
        <w:t>, определяющих структуру и содержание контрольных измерительных материалов (КИМ) единого государственного экзамена (ЕГЭ) в 2025 году.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Как и в предыдущие годы, все изменения в КИМ, в том числе включение новых заданий, направлены на усиление </w:t>
      </w:r>
      <w:proofErr w:type="spell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В 2025 году изменения не затронут КИМ ЕГЭ по биологии, географии, истории, базовой и профильной математике, обществознанию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информатике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27 в 2025 году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английскому, немецкому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>, французскому и испанскому языкам задания 19–24 на контроль грамматических навыков могут быть даны на двух отдельных текстах или на одном цельном тексте. Уточнены формулировки задания 38 письменной части и задания 4 устной части, а также критерии оценивания ответов на задание 4 устной части.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литературе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изменено задание 5: требуется сравнить произведение, фрагмент которого приведен в КИМ, с указанным в том же задании произведением XVIII – первой половины ХIХ века; направление анализа задано в формулировке задания. Уточнена формулировка задания 10, сняты хронологические ограничения при выборе стихотворения для сопоставления. Также уточнено задание 8 (расширен перечень художественных средств и приёмов). Одна из тем в заданиях 11.1–11.3 будет носить дискуссионный характер.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Уточнены критерии оценивания выполнения заданий с развёрнутым ответом. </w:t>
      </w:r>
      <w:bookmarkStart w:id="0" w:name="_GoBack"/>
      <w:bookmarkEnd w:id="0"/>
      <w:r w:rsidRPr="00630462">
        <w:rPr>
          <w:rFonts w:ascii="Times New Roman" w:hAnsi="Times New Roman" w:cs="Times New Roman"/>
          <w:sz w:val="24"/>
          <w:szCs w:val="24"/>
          <w:lang w:eastAsia="ru-RU"/>
        </w:rPr>
        <w:t>В частности,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изменены критерии оценивания задания 5 и 10. При оценивании всех развёрнутых ответов части 1 по критерию «Логичность, соблюдение речевых и грамматических норм» учитывается сумма ошибок вне зависимости от их вида. 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ЕГЭ по русскому языку. По критерию К3 оценивания сочинения части 2 наряду с теоретико-литературными понятиями засчитываются термины искусствоведения, если тема сочинения нацеливает на их использование.     Обновлены инструкции к экзаменационной работе и конкретным заданиям.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русскому языку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внесены изменения в формулировки отдельных заданий и систему их оценивания. Задание на соответствие 26 по теме изобразительно-выразительных средств заменено новым заданием 22, не предусматривающим опоры на </w:t>
      </w:r>
      <w:proofErr w:type="spell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макротекст</w:t>
      </w:r>
      <w:proofErr w:type="spell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. В формулировке задания 27 (развёрнутый ответ) указана проблема и требуется дать комментарий авторской позиции по проблеме. При обосновании своего отношения к позиции автора не допускается обращение к таким жанрам, как комикс, аниме, </w:t>
      </w:r>
      <w:proofErr w:type="spell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манга</w:t>
      </w:r>
      <w:proofErr w:type="spell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фанфик</w:t>
      </w:r>
      <w:proofErr w:type="spell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>, графический роман, компьютерная игра. 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видоизменённой формулировкой задания 27 скорректирована система оценивания развёрнутого ответа. Осуществлён переход с </w:t>
      </w:r>
      <w:proofErr w:type="spell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двенадцатикритериальной</w:t>
      </w:r>
      <w:proofErr w:type="spell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на десятикритериальную систему оценивания сочинения-рассуждения. В частности, исключён 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критерий, связанный </w:t>
      </w:r>
      <w:proofErr w:type="gramStart"/>
      <w:r w:rsidRPr="00630462">
        <w:rPr>
          <w:rFonts w:ascii="Times New Roman" w:hAnsi="Times New Roman" w:cs="Times New Roman"/>
          <w:sz w:val="24"/>
          <w:szCs w:val="24"/>
          <w:lang w:eastAsia="ru-RU"/>
        </w:rPr>
        <w:t>с самостоятельным поиском</w:t>
      </w:r>
      <w:proofErr w:type="gramEnd"/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экзаменуемым проблемы, так как само задание 27 теперь содержит формулировку проблемы. Подходы, ранее связанные с оцениванием речевых повторов в рамках исключённого критерия «Богатство речи», сохранены при оценивании соблюдения речевых норм (критерий К10). Критерий «Фактическая точность речи» перенесён в часть речевого оформления сочинения (с позиции К12 на позицию К4). Критерий «Соблюдение этических норм» также перенесён в часть речевого оформления сочинения (с позиции К11 на позицию К6). Максимальные баллы за оценивание соблюдения грамматических норм (критерий К9) и речевых норм (критерий К10) увеличены до 3 баллов. Первичный балл за развёрнутый ответ увеличен с 21 балла до 22 баллов. Увеличен с 69 до 99 слов порог, при котором экзаменационное сочинение не проверяется (по всем критериям ставится 0 баллов). Максимальный первичный балл за выполнение экзаменационной работы по русскому языку сохранён и составляет 50 баллов.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КИМ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физике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в 2025 г. осталась без изменений. Расширен спектр тем, которые могут встретиться в заданиях линий 2, 4, 8, 16, 21, 22 и 26.</w:t>
      </w:r>
    </w:p>
    <w:p w:rsidR="00B6338B" w:rsidRPr="00630462" w:rsidRDefault="00B6338B" w:rsidP="00B633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79F7">
        <w:rPr>
          <w:rFonts w:ascii="Times New Roman" w:hAnsi="Times New Roman" w:cs="Times New Roman"/>
          <w:b/>
          <w:sz w:val="24"/>
          <w:szCs w:val="24"/>
          <w:lang w:eastAsia="ru-RU"/>
        </w:rPr>
        <w:t>ЕГЭ по химии</w:t>
      </w:r>
      <w:r w:rsidRPr="00630462">
        <w:rPr>
          <w:rFonts w:ascii="Times New Roman" w:hAnsi="Times New Roman" w:cs="Times New Roman"/>
          <w:sz w:val="24"/>
          <w:szCs w:val="24"/>
          <w:lang w:eastAsia="ru-RU"/>
        </w:rPr>
        <w:t xml:space="preserve"> 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</w: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2668B5" w:rsidRDefault="002668B5" w:rsidP="002668B5">
      <w:pPr>
        <w:rPr>
          <w:b/>
          <w:color w:val="1A1A1A"/>
          <w:sz w:val="28"/>
          <w:szCs w:val="28"/>
          <w:shd w:val="clear" w:color="auto" w:fill="FFFFFF"/>
        </w:rPr>
      </w:pPr>
    </w:p>
    <w:p w:rsidR="00DF1059" w:rsidRPr="002668B5" w:rsidRDefault="00DF1059" w:rsidP="002668B5"/>
    <w:sectPr w:rsidR="00DF1059" w:rsidRPr="002668B5" w:rsidSect="00004C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A90"/>
    <w:multiLevelType w:val="hybridMultilevel"/>
    <w:tmpl w:val="D8408A2C"/>
    <w:lvl w:ilvl="0" w:tplc="354638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7F6"/>
    <w:multiLevelType w:val="hybridMultilevel"/>
    <w:tmpl w:val="5B846D58"/>
    <w:lvl w:ilvl="0" w:tplc="3AA40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570B6"/>
    <w:multiLevelType w:val="hybridMultilevel"/>
    <w:tmpl w:val="8A288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37693"/>
    <w:multiLevelType w:val="hybridMultilevel"/>
    <w:tmpl w:val="1944A5A2"/>
    <w:lvl w:ilvl="0" w:tplc="57A25D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4C80B55"/>
    <w:multiLevelType w:val="hybridMultilevel"/>
    <w:tmpl w:val="BF2201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1AB"/>
    <w:multiLevelType w:val="hybridMultilevel"/>
    <w:tmpl w:val="E29E6D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C61D3F"/>
    <w:multiLevelType w:val="hybridMultilevel"/>
    <w:tmpl w:val="14F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79FA"/>
    <w:multiLevelType w:val="hybridMultilevel"/>
    <w:tmpl w:val="0310FD7C"/>
    <w:lvl w:ilvl="0" w:tplc="3FD408A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F174B9"/>
    <w:multiLevelType w:val="hybridMultilevel"/>
    <w:tmpl w:val="00E0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77CA"/>
    <w:multiLevelType w:val="hybridMultilevel"/>
    <w:tmpl w:val="BB4E29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DAA12D2"/>
    <w:multiLevelType w:val="hybridMultilevel"/>
    <w:tmpl w:val="D52C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73A5"/>
    <w:multiLevelType w:val="hybridMultilevel"/>
    <w:tmpl w:val="D52C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D1"/>
    <w:rsid w:val="00085470"/>
    <w:rsid w:val="001F26D1"/>
    <w:rsid w:val="002668B5"/>
    <w:rsid w:val="00302402"/>
    <w:rsid w:val="0034535F"/>
    <w:rsid w:val="00395EE4"/>
    <w:rsid w:val="0046550B"/>
    <w:rsid w:val="0056092B"/>
    <w:rsid w:val="00571854"/>
    <w:rsid w:val="006D5193"/>
    <w:rsid w:val="008031AA"/>
    <w:rsid w:val="00811B5D"/>
    <w:rsid w:val="00881B15"/>
    <w:rsid w:val="00A462CB"/>
    <w:rsid w:val="00A670C0"/>
    <w:rsid w:val="00B57960"/>
    <w:rsid w:val="00B6338B"/>
    <w:rsid w:val="00D341D3"/>
    <w:rsid w:val="00D5107E"/>
    <w:rsid w:val="00D5675A"/>
    <w:rsid w:val="00DF1059"/>
    <w:rsid w:val="00DF69F5"/>
    <w:rsid w:val="00E53D19"/>
    <w:rsid w:val="00E9716B"/>
    <w:rsid w:val="00F42A30"/>
    <w:rsid w:val="00FA19AE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6612-26D7-4E95-B86F-CB2DB00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53D19"/>
    <w:pPr>
      <w:ind w:left="720" w:firstLine="567"/>
      <w:contextualSpacing/>
      <w:jc w:val="both"/>
    </w:pPr>
    <w:rPr>
      <w:rFonts w:eastAsia="Arial"/>
      <w:color w:val="00000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E53D19"/>
    <w:rPr>
      <w:rFonts w:ascii="Times New Roman" w:eastAsia="Arial" w:hAnsi="Times New Roman" w:cs="Times New Roman"/>
      <w:color w:val="000000"/>
      <w:sz w:val="24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E53D19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E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5675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4535F"/>
    <w:pPr>
      <w:spacing w:after="0" w:line="240" w:lineRule="auto"/>
    </w:pPr>
  </w:style>
  <w:style w:type="character" w:styleId="aa">
    <w:name w:val="Strong"/>
    <w:basedOn w:val="a0"/>
    <w:uiPriority w:val="22"/>
    <w:qFormat/>
    <w:rsid w:val="0034535F"/>
    <w:rPr>
      <w:b/>
      <w:bCs/>
    </w:rPr>
  </w:style>
  <w:style w:type="character" w:styleId="ab">
    <w:name w:val="Hyperlink"/>
    <w:basedOn w:val="a0"/>
    <w:uiPriority w:val="99"/>
    <w:unhideWhenUsed/>
    <w:rsid w:val="0026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doc.fipi.ru/ege/demoversii-specifikacii-kodifikatory/2025/Izmeneniya_KIM_EGE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27</cp:revision>
  <cp:lastPrinted>2024-10-31T04:21:00Z</cp:lastPrinted>
  <dcterms:created xsi:type="dcterms:W3CDTF">2024-09-02T04:14:00Z</dcterms:created>
  <dcterms:modified xsi:type="dcterms:W3CDTF">2024-11-06T08:24:00Z</dcterms:modified>
</cp:coreProperties>
</file>